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40" w:rsidRDefault="005E5040" w:rsidP="005E5040">
      <w:r>
        <w:t>Taking notes advice – using the exemplar as the basis</w:t>
      </w:r>
    </w:p>
    <w:p w:rsidR="005E5040" w:rsidRDefault="005E5040" w:rsidP="005E5040">
      <w:r>
        <w:rPr>
          <w:rFonts w:ascii="Comic Sans MS" w:eastAsia="Comic Sans MS" w:hAnsi="Comic Sans MS" w:cs="Comic Sans MS"/>
          <w:b/>
          <w:sz w:val="24"/>
          <w:szCs w:val="24"/>
        </w:rPr>
        <w:t xml:space="preserve">2. </w:t>
      </w:r>
      <w:proofErr w:type="spellStart"/>
      <w:r>
        <w:rPr>
          <w:rFonts w:ascii="Comic Sans MS" w:eastAsia="Comic Sans MS" w:hAnsi="Comic Sans MS" w:cs="Comic Sans MS"/>
          <w:b/>
          <w:sz w:val="24"/>
          <w:szCs w:val="24"/>
        </w:rPr>
        <w:t>Notetaking</w:t>
      </w:r>
      <w:proofErr w:type="spellEnd"/>
      <w:r>
        <w:rPr>
          <w:rFonts w:ascii="Comic Sans MS" w:eastAsia="Comic Sans MS" w:hAnsi="Comic Sans MS" w:cs="Comic Sans MS"/>
          <w:b/>
          <w:sz w:val="24"/>
          <w:szCs w:val="24"/>
        </w:rPr>
        <w:t xml:space="preserve"> </w:t>
      </w:r>
    </w:p>
    <w:p w:rsidR="005E5040" w:rsidRDefault="005E5040" w:rsidP="005E5040">
      <w:proofErr w:type="spellStart"/>
      <w:r>
        <w:rPr>
          <w:rFonts w:ascii="Comic Sans MS" w:eastAsia="Comic Sans MS" w:hAnsi="Comic Sans MS" w:cs="Comic Sans MS"/>
          <w:b/>
          <w:sz w:val="24"/>
          <w:szCs w:val="24"/>
        </w:rPr>
        <w:t>Notetaking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is a way of </w:t>
      </w:r>
      <w:r>
        <w:rPr>
          <w:rFonts w:ascii="Comic Sans MS" w:eastAsia="Comic Sans MS" w:hAnsi="Comic Sans MS" w:cs="Comic Sans MS"/>
          <w:b/>
          <w:sz w:val="24"/>
          <w:szCs w:val="24"/>
        </w:rPr>
        <w:t>recording</w:t>
      </w:r>
      <w:r>
        <w:rPr>
          <w:rFonts w:ascii="Comic Sans MS" w:eastAsia="Comic Sans MS" w:hAnsi="Comic Sans MS" w:cs="Comic Sans MS"/>
          <w:sz w:val="24"/>
          <w:szCs w:val="24"/>
        </w:rPr>
        <w:t xml:space="preserve"> key information and ideas from resources and texts. You must write in a 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shortened </w:t>
      </w:r>
      <w:r>
        <w:rPr>
          <w:rFonts w:ascii="Comic Sans MS" w:eastAsia="Comic Sans MS" w:hAnsi="Comic Sans MS" w:cs="Comic Sans MS"/>
          <w:sz w:val="24"/>
          <w:szCs w:val="24"/>
        </w:rPr>
        <w:t>form. You can:</w:t>
      </w:r>
    </w:p>
    <w:p w:rsidR="005E5040" w:rsidRDefault="005E5040" w:rsidP="005E504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Write briefly, using keywords and phrases (not full sentences)</w:t>
      </w:r>
    </w:p>
    <w:p w:rsidR="005E5040" w:rsidRDefault="005E5040" w:rsidP="005E504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Use bullet points/lists/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mindmaps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/charts 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etc</w:t>
      </w:r>
      <w:proofErr w:type="spellEnd"/>
    </w:p>
    <w:p w:rsidR="005E5040" w:rsidRPr="00654C28" w:rsidRDefault="005E5040" w:rsidP="005E504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 xml:space="preserve">Use abbreviations/symbols, 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e.g.,</w:t>
      </w:r>
      <w:r w:rsidRPr="00654C28">
        <w:rPr>
          <w:rFonts w:ascii="Comic Sans MS" w:eastAsia="Comic Sans MS" w:hAnsi="Comic Sans MS" w:cs="Comic Sans MS"/>
          <w:i/>
          <w:sz w:val="24"/>
          <w:szCs w:val="24"/>
        </w:rPr>
        <w:t>imp</w:t>
      </w:r>
      <w:proofErr w:type="spellEnd"/>
      <w:r w:rsidRPr="00654C28">
        <w:rPr>
          <w:rFonts w:ascii="Comic Sans MS" w:eastAsia="Comic Sans MS" w:hAnsi="Comic Sans MS" w:cs="Comic Sans MS"/>
          <w:i/>
          <w:sz w:val="24"/>
          <w:szCs w:val="24"/>
        </w:rPr>
        <w:t>=important,# = number</w:t>
      </w:r>
    </w:p>
    <w:p w:rsidR="005E5040" w:rsidRDefault="005E5040" w:rsidP="005E5040">
      <w:r>
        <w:rPr>
          <w:noProof/>
        </w:rPr>
        <w:drawing>
          <wp:anchor distT="0" distB="0" distL="114300" distR="114300" simplePos="0" relativeHeight="251659264" behindDoc="1" locked="0" layoutInCell="1" allowOverlap="1" wp14:anchorId="1BB55344" wp14:editId="16481539">
            <wp:simplePos x="0" y="0"/>
            <wp:positionH relativeFrom="column">
              <wp:posOffset>3061335</wp:posOffset>
            </wp:positionH>
            <wp:positionV relativeFrom="paragraph">
              <wp:posOffset>115570</wp:posOffset>
            </wp:positionV>
            <wp:extent cx="412750" cy="497840"/>
            <wp:effectExtent l="0" t="0" r="6350" b="0"/>
            <wp:wrapTight wrapText="bothSides">
              <wp:wrapPolygon edited="0">
                <wp:start x="0" y="0"/>
                <wp:lineTo x="0" y="4959"/>
                <wp:lineTo x="9969" y="14051"/>
                <wp:lineTo x="8972" y="20663"/>
                <wp:lineTo x="20935" y="20663"/>
                <wp:lineTo x="20935" y="13224"/>
                <wp:lineTo x="6978" y="1653"/>
                <wp:lineTo x="3988" y="0"/>
                <wp:lineTo x="0" y="0"/>
              </wp:wrapPolygon>
            </wp:wrapTight>
            <wp:docPr id="1" name="image01.png" descr="C:\Users\Educator\AppData\Local\Microsoft\Windows\Temporary Internet Files\Content.IE5\YYGU70YL\MC900085332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C:\Users\Educator\AppData\Local\Microsoft\Windows\Temporary Internet Files\Content.IE5\YYGU70YL\MC900085332[1].wmf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497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eastAsia="Comic Sans MS" w:hAnsi="Comic Sans MS" w:cs="Comic Sans MS"/>
          <w:sz w:val="24"/>
          <w:szCs w:val="24"/>
        </w:rPr>
        <w:t xml:space="preserve">                                                    </w:t>
      </w:r>
    </w:p>
    <w:p w:rsidR="005E5040" w:rsidRDefault="005E5040" w:rsidP="005E5040">
      <w:r>
        <w:rPr>
          <w:rFonts w:ascii="Comic Sans MS" w:eastAsia="Comic Sans MS" w:hAnsi="Comic Sans MS" w:cs="Comic Sans MS"/>
          <w:b/>
          <w:sz w:val="24"/>
          <w:szCs w:val="24"/>
        </w:rPr>
        <w:t>Further Note-taking Tasks</w:t>
      </w:r>
    </w:p>
    <w:p w:rsidR="005E5040" w:rsidRDefault="005E5040" w:rsidP="005E5040">
      <w:proofErr w:type="gramStart"/>
      <w:r>
        <w:rPr>
          <w:rFonts w:ascii="Comic Sans MS" w:eastAsia="Comic Sans MS" w:hAnsi="Comic Sans MS" w:cs="Comic Sans MS"/>
          <w:sz w:val="24"/>
          <w:szCs w:val="24"/>
        </w:rPr>
        <w:t>NZCER  Website</w:t>
      </w:r>
      <w:proofErr w:type="gramEnd"/>
      <w:r>
        <w:rPr>
          <w:rFonts w:ascii="Comic Sans MS" w:eastAsia="Comic Sans MS" w:hAnsi="Comic Sans MS" w:cs="Comic Sans MS"/>
          <w:sz w:val="24"/>
          <w:szCs w:val="24"/>
        </w:rPr>
        <w:t xml:space="preserve">- username 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ARB </w:t>
      </w:r>
      <w:r>
        <w:rPr>
          <w:rFonts w:ascii="Comic Sans MS" w:eastAsia="Comic Sans MS" w:hAnsi="Comic Sans MS" w:cs="Comic Sans MS"/>
          <w:sz w:val="24"/>
          <w:szCs w:val="24"/>
        </w:rPr>
        <w:t xml:space="preserve">– Password </w:t>
      </w:r>
      <w:r>
        <w:rPr>
          <w:rFonts w:ascii="Comic Sans MS" w:eastAsia="Comic Sans MS" w:hAnsi="Comic Sans MS" w:cs="Comic Sans MS"/>
          <w:b/>
          <w:sz w:val="24"/>
          <w:szCs w:val="24"/>
        </w:rPr>
        <w:t>Guide</w:t>
      </w:r>
      <w:r>
        <w:rPr>
          <w:rFonts w:ascii="Comic Sans MS" w:eastAsia="Comic Sans MS" w:hAnsi="Comic Sans MS" w:cs="Comic Sans MS"/>
          <w:sz w:val="24"/>
          <w:szCs w:val="24"/>
        </w:rPr>
        <w:t xml:space="preserve"> - WL 3708; WL 3608</w:t>
      </w:r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 w:hanging="360"/>
      </w:pPr>
      <w:proofErr w:type="spellStart"/>
      <w:r>
        <w:rPr>
          <w:rFonts w:ascii="Comic Sans MS" w:eastAsia="Comic Sans MS" w:hAnsi="Comic Sans MS" w:cs="Comic Sans MS"/>
          <w:b/>
        </w:rPr>
        <w:t>Notemaking</w:t>
      </w:r>
      <w:proofErr w:type="spellEnd"/>
      <w:r>
        <w:rPr>
          <w:rFonts w:ascii="Comic Sans MS" w:eastAsia="Comic Sans MS" w:hAnsi="Comic Sans MS" w:cs="Comic Sans MS"/>
          <w:b/>
        </w:rPr>
        <w:t>:</w:t>
      </w:r>
      <w:r>
        <w:rPr>
          <w:rFonts w:ascii="Arial" w:eastAsia="Arial" w:hAnsi="Arial" w:cs="Arial"/>
        </w:rPr>
        <w:t xml:space="preserve"> </w:t>
      </w:r>
      <w:hyperlink r:id="rId7">
        <w:r>
          <w:rPr>
            <w:rFonts w:ascii="Arial" w:eastAsia="Arial" w:hAnsi="Arial" w:cs="Arial"/>
            <w:color w:val="0000FF"/>
            <w:u w:val="single"/>
          </w:rPr>
          <w:t>http://www.readwritethink.org/materials/factfrenzy/opening.html</w:t>
        </w:r>
      </w:hyperlink>
      <w:hyperlink r:id="rId8"/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</w:pPr>
      <w:hyperlink r:id="rId9"/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</w:pPr>
      <w:r>
        <w:rPr>
          <w:rFonts w:ascii="Comic Sans MS" w:eastAsia="Comic Sans MS" w:hAnsi="Comic Sans MS" w:cs="Comic Sans MS"/>
          <w:b/>
        </w:rPr>
        <w:t>Other Useful websites</w:t>
      </w:r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</w:pPr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 w:hanging="360"/>
      </w:pPr>
      <w:r>
        <w:rPr>
          <w:rFonts w:ascii="Arial" w:eastAsia="Arial" w:hAnsi="Arial" w:cs="Arial"/>
          <w:b/>
        </w:rPr>
        <w:t>Skimming:</w:t>
      </w:r>
      <w:r>
        <w:rPr>
          <w:rFonts w:ascii="Arial" w:eastAsia="Arial" w:hAnsi="Arial" w:cs="Arial"/>
        </w:rPr>
        <w:t xml:space="preserve"> </w:t>
      </w:r>
      <w:hyperlink r:id="rId10">
        <w:r>
          <w:rPr>
            <w:rFonts w:ascii="Arial" w:eastAsia="Arial" w:hAnsi="Arial" w:cs="Arial"/>
            <w:color w:val="0000FF"/>
            <w:u w:val="single"/>
          </w:rPr>
          <w:t>http://web2.uvcs.uvic.ca/elc/studyzone/570/pulp/hemp1.htm</w:t>
        </w:r>
      </w:hyperlink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hyperlink r:id="rId11"/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 w:hanging="360"/>
      </w:pPr>
      <w:r>
        <w:rPr>
          <w:rFonts w:ascii="Arial" w:eastAsia="Arial" w:hAnsi="Arial" w:cs="Arial"/>
          <w:b/>
        </w:rPr>
        <w:t>Advanced Boolean searching:</w:t>
      </w:r>
      <w:r>
        <w:rPr>
          <w:rFonts w:ascii="Arial" w:eastAsia="Arial" w:hAnsi="Arial" w:cs="Arial"/>
        </w:rPr>
        <w:t xml:space="preserve"> </w:t>
      </w:r>
      <w:hyperlink r:id="rId12">
        <w:r>
          <w:rPr>
            <w:rFonts w:ascii="Arial" w:eastAsia="Arial" w:hAnsi="Arial" w:cs="Arial"/>
            <w:color w:val="0000FF"/>
            <w:u w:val="single"/>
          </w:rPr>
          <w:t>http://lib.colostate.edu/tutorials/advboolean.html</w:t>
        </w:r>
      </w:hyperlink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hyperlink r:id="rId13"/>
      <w:hyperlink r:id="rId14"/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 w:hanging="360"/>
      </w:pPr>
      <w:r>
        <w:rPr>
          <w:rFonts w:ascii="Arial" w:eastAsia="Arial" w:hAnsi="Arial" w:cs="Arial"/>
          <w:b/>
        </w:rPr>
        <w:t>EPIC:</w:t>
      </w:r>
      <w:r>
        <w:rPr>
          <w:rFonts w:ascii="Arial" w:eastAsia="Arial" w:hAnsi="Arial" w:cs="Arial"/>
        </w:rPr>
        <w:t xml:space="preserve"> </w:t>
      </w:r>
      <w:hyperlink r:id="rId15">
        <w:r>
          <w:rPr>
            <w:rFonts w:ascii="Arial" w:eastAsia="Arial" w:hAnsi="Arial" w:cs="Arial"/>
            <w:color w:val="0000FF"/>
            <w:u w:val="single"/>
          </w:rPr>
          <w:t>http://www.tki.org.nz/r/epic/</w:t>
        </w:r>
      </w:hyperlink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(school user </w:t>
      </w:r>
      <w:proofErr w:type="gramStart"/>
      <w:r>
        <w:rPr>
          <w:rFonts w:ascii="Arial" w:eastAsia="Arial" w:hAnsi="Arial" w:cs="Arial"/>
          <w:sz w:val="16"/>
          <w:szCs w:val="16"/>
        </w:rPr>
        <w:t>name  -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-  and password  - -  needed)</w:t>
      </w:r>
    </w:p>
    <w:p w:rsidR="005E5040" w:rsidRDefault="005E5040" w:rsidP="005E5040">
      <w:pPr>
        <w:tabs>
          <w:tab w:val="left" w:pos="397"/>
          <w:tab w:val="left" w:pos="794"/>
          <w:tab w:val="left" w:pos="1191"/>
        </w:tabs>
        <w:spacing w:before="120" w:after="120" w:line="240" w:lineRule="auto"/>
      </w:pPr>
    </w:p>
    <w:p w:rsidR="005E5040" w:rsidRDefault="005E5040" w:rsidP="005E5040">
      <w:r>
        <w:rPr>
          <w:b/>
        </w:rPr>
        <w:t xml:space="preserve">INNZ: </w:t>
      </w:r>
      <w:hyperlink r:id="rId16">
        <w:r>
          <w:rPr>
            <w:color w:val="0000FF"/>
            <w:u w:val="single"/>
          </w:rPr>
          <w:t>http://www.tki.org.nz/e/tki/innz/</w:t>
        </w:r>
      </w:hyperlink>
      <w:r>
        <w:t xml:space="preserve"> </w:t>
      </w:r>
      <w:r>
        <w:rPr>
          <w:sz w:val="16"/>
          <w:szCs w:val="16"/>
        </w:rPr>
        <w:t xml:space="preserve">(school user </w:t>
      </w:r>
      <w:proofErr w:type="gramStart"/>
      <w:r>
        <w:rPr>
          <w:sz w:val="16"/>
          <w:szCs w:val="16"/>
        </w:rPr>
        <w:t>name  -</w:t>
      </w:r>
      <w:proofErr w:type="gramEnd"/>
      <w:r>
        <w:rPr>
          <w:sz w:val="16"/>
          <w:szCs w:val="16"/>
        </w:rPr>
        <w:t xml:space="preserve"> -  and password  -  -  needed)</w:t>
      </w: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pPr>
        <w:rPr>
          <w:rFonts w:ascii="Comic Sans MS" w:eastAsia="Comic Sans MS" w:hAnsi="Comic Sans MS" w:cs="Comic Sans MS"/>
          <w:sz w:val="20"/>
          <w:szCs w:val="20"/>
        </w:rPr>
      </w:pPr>
    </w:p>
    <w:p w:rsidR="005E5040" w:rsidRDefault="005E5040" w:rsidP="005E5040">
      <w:bookmarkStart w:id="0" w:name="_GoBack"/>
      <w:bookmarkEnd w:id="0"/>
      <w:r>
        <w:rPr>
          <w:rFonts w:ascii="Comic Sans MS" w:eastAsia="Comic Sans MS" w:hAnsi="Comic Sans MS" w:cs="Comic Sans MS"/>
          <w:sz w:val="20"/>
          <w:szCs w:val="20"/>
        </w:rPr>
        <w:lastRenderedPageBreak/>
        <w:t xml:space="preserve">Example: </w:t>
      </w:r>
      <w:r>
        <w:rPr>
          <w:rFonts w:ascii="Comic Sans MS" w:eastAsia="Comic Sans MS" w:hAnsi="Comic Sans MS" w:cs="Comic Sans MS"/>
          <w:b/>
          <w:sz w:val="20"/>
          <w:szCs w:val="20"/>
        </w:rPr>
        <w:t>Note-taking, recording sources, evaluating for reliability and usefulness</w:t>
      </w:r>
    </w:p>
    <w:p w:rsidR="005E5040" w:rsidRDefault="005E5040" w:rsidP="005E5040">
      <w:pPr>
        <w:jc w:val="center"/>
      </w:pPr>
      <w:r>
        <w:rPr>
          <w:rFonts w:ascii="Arial" w:eastAsia="Arial" w:hAnsi="Arial" w:cs="Arial"/>
          <w:b/>
          <w:sz w:val="28"/>
          <w:szCs w:val="28"/>
        </w:rPr>
        <w:t>NOTE TAKING SOURCE SHEET (Exemplar)</w:t>
      </w:r>
    </w:p>
    <w:tbl>
      <w:tblPr>
        <w:tblW w:w="106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76"/>
      </w:tblGrid>
      <w:tr w:rsidR="005E5040" w:rsidTr="00C311BA">
        <w:tc>
          <w:tcPr>
            <w:tcW w:w="10676" w:type="dxa"/>
          </w:tcPr>
          <w:p w:rsidR="005E5040" w:rsidRDefault="005E5040" w:rsidP="00C311BA">
            <w:r>
              <w:rPr>
                <w:rFonts w:ascii="Arial" w:eastAsia="Arial" w:hAnsi="Arial" w:cs="Arial"/>
                <w:b/>
                <w:sz w:val="28"/>
                <w:szCs w:val="28"/>
              </w:rPr>
              <w:t>Source Details:</w:t>
            </w:r>
          </w:p>
          <w:p w:rsidR="005E5040" w:rsidRDefault="005E5040" w:rsidP="00C311BA">
            <w:pPr>
              <w:spacing w:after="120"/>
            </w:pPr>
            <w:r>
              <w:rPr>
                <w:rFonts w:ascii="Arial" w:eastAsia="Arial" w:hAnsi="Arial" w:cs="Arial"/>
                <w:b/>
              </w:rPr>
              <w:t xml:space="preserve">Author: </w:t>
            </w:r>
            <w:proofErr w:type="spellStart"/>
            <w:r>
              <w:rPr>
                <w:rFonts w:ascii="Arial" w:eastAsia="Arial" w:hAnsi="Arial" w:cs="Arial"/>
              </w:rPr>
              <w:t>Emine</w:t>
            </w:r>
            <w:proofErr w:type="spellEnd"/>
            <w:r>
              <w:rPr>
                <w:rFonts w:ascii="Arial" w:eastAsia="Arial" w:hAnsi="Arial" w:cs="Arial"/>
              </w:rPr>
              <w:t xml:space="preserve"> Saner</w:t>
            </w:r>
          </w:p>
          <w:p w:rsidR="005E5040" w:rsidRDefault="005E5040" w:rsidP="00C311BA">
            <w:pPr>
              <w:spacing w:after="120"/>
            </w:pPr>
            <w:r>
              <w:rPr>
                <w:rFonts w:ascii="Arial" w:eastAsia="Arial" w:hAnsi="Arial" w:cs="Arial"/>
                <w:b/>
              </w:rPr>
              <w:t xml:space="preserve">Title: </w:t>
            </w:r>
            <w:r>
              <w:rPr>
                <w:rFonts w:ascii="Arial" w:eastAsia="Arial" w:hAnsi="Arial" w:cs="Arial"/>
              </w:rPr>
              <w:t>Not on me head, son – is heading a football a health hazard for kids?</w:t>
            </w:r>
          </w:p>
          <w:p w:rsidR="005E5040" w:rsidRDefault="005E5040" w:rsidP="00C311BA">
            <w:pPr>
              <w:pStyle w:val="Heading1"/>
            </w:pPr>
            <w:r>
              <w:rPr>
                <w:rFonts w:ascii="Arial" w:eastAsia="Arial" w:hAnsi="Arial" w:cs="Arial"/>
                <w:sz w:val="22"/>
                <w:szCs w:val="22"/>
              </w:rPr>
              <w:t>Date Published and Publication Details / Date retrieved and URL: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 xml:space="preserve"> Retrieved from </w:t>
            </w:r>
            <w:r>
              <w:rPr>
                <w:rFonts w:ascii="Arial" w:eastAsia="Arial" w:hAnsi="Arial" w:cs="Arial"/>
                <w:b w:val="0"/>
                <w:sz w:val="22"/>
                <w:szCs w:val="22"/>
                <w:u w:val="single"/>
              </w:rPr>
              <w:t>The Guardian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 xml:space="preserve"> newspaper. Tuesday 10 November 2015 17.35 GMT Last modified on Wednesday 11 November 2015 10.03 GMT </w:t>
            </w:r>
          </w:p>
          <w:p w:rsidR="005E5040" w:rsidRDefault="005E5040" w:rsidP="00C311BA">
            <w:pPr>
              <w:spacing w:after="120"/>
            </w:pPr>
            <w:r>
              <w:rPr>
                <w:rFonts w:ascii="Arial" w:eastAsia="Arial" w:hAnsi="Arial" w:cs="Arial"/>
                <w:b/>
                <w:highlight w:val="yellow"/>
              </w:rPr>
              <w:t>REMINDER</w:t>
            </w:r>
            <w:r>
              <w:rPr>
                <w:rFonts w:ascii="Arial" w:eastAsia="Arial" w:hAnsi="Arial" w:cs="Arial"/>
                <w:b/>
              </w:rPr>
              <w:t xml:space="preserve"> - Have you checked this source for reliability and usefulness? Y    </w:t>
            </w:r>
          </w:p>
        </w:tc>
      </w:tr>
    </w:tbl>
    <w:p w:rsidR="005E5040" w:rsidRDefault="005E5040" w:rsidP="005E5040"/>
    <w:tbl>
      <w:tblPr>
        <w:tblW w:w="10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36"/>
      </w:tblGrid>
      <w:tr w:rsidR="005E5040" w:rsidTr="00C311BA">
        <w:trPr>
          <w:trHeight w:val="6660"/>
        </w:trPr>
        <w:tc>
          <w:tcPr>
            <w:tcW w:w="10736" w:type="dxa"/>
          </w:tcPr>
          <w:p w:rsidR="005E5040" w:rsidRDefault="005E5040" w:rsidP="00C311BA">
            <w:r>
              <w:rPr>
                <w:rFonts w:ascii="Arial" w:eastAsia="Arial" w:hAnsi="Arial" w:cs="Arial"/>
                <w:b/>
                <w:sz w:val="28"/>
                <w:szCs w:val="28"/>
              </w:rPr>
              <w:t>SOURCE NOTES: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spacing w:after="0"/>
              <w:ind w:hanging="360"/>
              <w:contextualSpacing/>
            </w:pPr>
            <w:r>
              <w:rPr>
                <w:rFonts w:ascii="Arial" w:eastAsia="Arial" w:hAnsi="Arial" w:cs="Arial"/>
              </w:rPr>
              <w:t>Force of heading the ball in women’s football can be the same as a punch in boxing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spacing w:after="0"/>
              <w:ind w:hanging="360"/>
              <w:contextualSpacing/>
              <w:rPr>
                <w:b/>
              </w:rPr>
            </w:pPr>
            <w:r>
              <w:rPr>
                <w:rFonts w:ascii="Arial" w:eastAsia="Arial" w:hAnsi="Arial" w:cs="Arial"/>
              </w:rPr>
              <w:t>US Soccer Federation plans to ban heading for younger kids and limit heading for 11-13 year olds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spacing w:after="0"/>
              <w:ind w:hanging="360"/>
              <w:contextualSpacing/>
              <w:rPr>
                <w:b/>
              </w:rPr>
            </w:pPr>
            <w:r>
              <w:rPr>
                <w:rFonts w:ascii="Arial" w:eastAsia="Arial" w:hAnsi="Arial" w:cs="Arial"/>
              </w:rPr>
              <w:t xml:space="preserve">There is, says </w:t>
            </w:r>
            <w:hyperlink r:id="rId17">
              <w:r>
                <w:rPr>
                  <w:rFonts w:ascii="Arial" w:eastAsia="Arial" w:hAnsi="Arial" w:cs="Arial"/>
                  <w:color w:val="0000FF"/>
                  <w:u w:val="single"/>
                </w:rPr>
                <w:t>Dr Michael Grey</w:t>
              </w:r>
            </w:hyperlink>
            <w:r>
              <w:rPr>
                <w:rFonts w:ascii="Arial" w:eastAsia="Arial" w:hAnsi="Arial" w:cs="Arial"/>
              </w:rPr>
              <w:t>, a reader in motor neuroscience at the University of Birmingham’s School of Sport, “increasing evidence to suggest there may be a problem” with head injuries in football, and particularly in younger players.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spacing w:after="0"/>
              <w:ind w:hanging="360"/>
              <w:contextualSpacing/>
              <w:rPr>
                <w:b/>
              </w:rPr>
            </w:pPr>
            <w:r>
              <w:rPr>
                <w:rFonts w:ascii="Arial" w:eastAsia="Arial" w:hAnsi="Arial" w:cs="Arial"/>
              </w:rPr>
              <w:t>It’s not just the actual heading of the ball but also the contact with elbows and hitting the ground which can happen when attempting a header.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spacing w:after="0"/>
              <w:ind w:hanging="360"/>
              <w:contextualSpacing/>
              <w:rPr>
                <w:b/>
              </w:rPr>
            </w:pPr>
            <w:r>
              <w:rPr>
                <w:rFonts w:ascii="Arial" w:eastAsia="Arial" w:hAnsi="Arial" w:cs="Arial"/>
              </w:rPr>
              <w:t>According to Dr Grey, Children more at risk because their heads are “disproportionately large” compared to their brains and their neck muscles aren’t as strong.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spacing w:after="0"/>
              <w:ind w:hanging="360"/>
              <w:contextualSpacing/>
            </w:pPr>
            <w:r>
              <w:rPr>
                <w:rFonts w:ascii="Arial" w:eastAsia="Arial" w:hAnsi="Arial" w:cs="Arial"/>
              </w:rPr>
              <w:t>FA (Football Association) monitoring the evidence before they make a decision.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spacing w:after="0"/>
              <w:ind w:hanging="360"/>
              <w:contextualSpacing/>
            </w:pPr>
            <w:r>
              <w:rPr>
                <w:rFonts w:ascii="Arial" w:eastAsia="Arial" w:hAnsi="Arial" w:cs="Arial"/>
              </w:rPr>
              <w:t>Headway (Brain Injury Association) says still not enough evidence to be sure that heading is really dangerous.</w:t>
            </w:r>
          </w:p>
          <w:p w:rsidR="005E5040" w:rsidRDefault="005E5040" w:rsidP="00C311BA">
            <w:pPr>
              <w:numPr>
                <w:ilvl w:val="0"/>
                <w:numId w:val="2"/>
              </w:numPr>
              <w:ind w:hanging="360"/>
              <w:contextualSpacing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Experts, like Dr Grey, are calling for more research.</w:t>
            </w:r>
          </w:p>
        </w:tc>
      </w:tr>
      <w:tr w:rsidR="005E5040" w:rsidTr="00C311BA">
        <w:trPr>
          <w:trHeight w:val="3640"/>
        </w:trPr>
        <w:tc>
          <w:tcPr>
            <w:tcW w:w="10736" w:type="dxa"/>
          </w:tcPr>
          <w:p w:rsidR="005E5040" w:rsidRDefault="005E5040" w:rsidP="00C311BA">
            <w:r>
              <w:rPr>
                <w:rFonts w:ascii="Arial" w:eastAsia="Arial" w:hAnsi="Arial" w:cs="Arial"/>
                <w:b/>
                <w:sz w:val="28"/>
                <w:szCs w:val="28"/>
              </w:rPr>
              <w:t>Source Evaluation – for reliability and usefulness:</w:t>
            </w:r>
          </w:p>
          <w:p w:rsidR="005E5040" w:rsidRDefault="005E5040" w:rsidP="00C311BA">
            <w:r>
              <w:rPr>
                <w:rFonts w:ascii="Arial" w:eastAsia="Arial" w:hAnsi="Arial" w:cs="Arial"/>
                <w:b/>
              </w:rPr>
              <w:t xml:space="preserve">Reliable? </w:t>
            </w:r>
            <w:r>
              <w:rPr>
                <w:rFonts w:ascii="Arial" w:eastAsia="Arial" w:hAnsi="Arial" w:cs="Arial"/>
              </w:rPr>
              <w:t xml:space="preserve">Ask the questions to check. Very recent posting which was updated to allow the Football Association (FA) to comment. Quotes a Neuroscience expert – Dr Grey. Offers a range of perspectives (FA, Dr Grey, </w:t>
            </w:r>
            <w:proofErr w:type="gramStart"/>
            <w:r>
              <w:rPr>
                <w:rFonts w:ascii="Arial" w:eastAsia="Arial" w:hAnsi="Arial" w:cs="Arial"/>
              </w:rPr>
              <w:t>Headway</w:t>
            </w:r>
            <w:proofErr w:type="gramEnd"/>
            <w:r>
              <w:rPr>
                <w:rFonts w:ascii="Arial" w:eastAsia="Arial" w:hAnsi="Arial" w:cs="Arial"/>
              </w:rPr>
              <w:t xml:space="preserve">). No bias is detected – all agree more evidence needed. Have cross referenced Dr Grey’s comments about the dangers of heading the football and they seem similar to other experts’ advice. </w:t>
            </w:r>
          </w:p>
          <w:p w:rsidR="005E5040" w:rsidRDefault="005E5040" w:rsidP="00C311BA">
            <w:r>
              <w:rPr>
                <w:rFonts w:ascii="Arial" w:eastAsia="Arial" w:hAnsi="Arial" w:cs="Arial"/>
                <w:b/>
              </w:rPr>
              <w:t xml:space="preserve">Useful? </w:t>
            </w:r>
            <w:r>
              <w:rPr>
                <w:rFonts w:ascii="Arial" w:eastAsia="Arial" w:hAnsi="Arial" w:cs="Arial"/>
              </w:rPr>
              <w:t>Yes. It had information on some of the dangers associated with heading the ball, particularly for young children. This will help with answering question 2 – What are the risks associated with heading the ball?</w:t>
            </w:r>
          </w:p>
        </w:tc>
      </w:tr>
    </w:tbl>
    <w:p w:rsidR="005E5040" w:rsidRDefault="005E5040" w:rsidP="005E5040"/>
    <w:p w:rsidR="005E5040" w:rsidRDefault="005E5040"/>
    <w:sectPr w:rsidR="005E5040" w:rsidSect="005E50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B76EB"/>
    <w:multiLevelType w:val="multilevel"/>
    <w:tmpl w:val="BBB253D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41077772"/>
    <w:multiLevelType w:val="multilevel"/>
    <w:tmpl w:val="3BA6D9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040"/>
    <w:rsid w:val="005E5040"/>
    <w:rsid w:val="00C0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5E5040"/>
    <w:pPr>
      <w:keepNext/>
      <w:keepLines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color w:val="000000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5040"/>
    <w:rPr>
      <w:rFonts w:ascii="Times New Roman" w:eastAsia="Times New Roman" w:hAnsi="Times New Roman" w:cs="Times New Roman"/>
      <w:b/>
      <w:color w:val="000000"/>
      <w:sz w:val="48"/>
      <w:szCs w:val="48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5E5040"/>
    <w:pPr>
      <w:keepNext/>
      <w:keepLines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color w:val="000000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5040"/>
    <w:rPr>
      <w:rFonts w:ascii="Times New Roman" w:eastAsia="Times New Roman" w:hAnsi="Times New Roman" w:cs="Times New Roman"/>
      <w:b/>
      <w:color w:val="000000"/>
      <w:sz w:val="48"/>
      <w:szCs w:val="48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ritethink.org/materials/factfrenzy/opening.html" TargetMode="External"/><Relationship Id="rId13" Type="http://schemas.openxmlformats.org/officeDocument/2006/relationships/hyperlink" Target="http://lib.colostate.edu/tutorials/advboolea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eadwritethink.org/materials/factfrenzy/opening.html" TargetMode="External"/><Relationship Id="rId12" Type="http://schemas.openxmlformats.org/officeDocument/2006/relationships/hyperlink" Target="http://lib.colostate.edu/tutorials/advboolean.html" TargetMode="External"/><Relationship Id="rId17" Type="http://schemas.openxmlformats.org/officeDocument/2006/relationships/hyperlink" Target="http://www.birmingham.ac.uk/schools/sport-exercise/staff/profile.aspx?ReferenceId=992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ki.org.nz/e/tki/innz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eb2.uvcs.uvic.ca/elc/studyzone/570/pulp/hemp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ki.org.nz/r/epic/" TargetMode="External"/><Relationship Id="rId10" Type="http://schemas.openxmlformats.org/officeDocument/2006/relationships/hyperlink" Target="http://web2.uvcs.uvic.ca/elc/studyzone/570/pulp/hemp1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eadwritethink.org/materials/factfrenzy/opening.html" TargetMode="External"/><Relationship Id="rId14" Type="http://schemas.openxmlformats.org/officeDocument/2006/relationships/hyperlink" Target="http://lib.colostate.edu/tutorials/advboolea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2016-02-03T00:43:00Z</dcterms:created>
  <dcterms:modified xsi:type="dcterms:W3CDTF">2016-02-03T00:46:00Z</dcterms:modified>
</cp:coreProperties>
</file>